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06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3685"/>
        <w:gridCol w:w="3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atLeast"/>
        </w:trPr>
        <w:tc>
          <w:tcPr>
            <w:tcW w:w="3261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color w:val="000000"/>
              </w:rPr>
            </w:pPr>
            <w: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pStyle w:val="2"/>
            </w:pPr>
          </w:p>
          <w:p>
            <w:pPr>
              <w:jc w:val="center"/>
              <w:rPr>
                <w:lang w:val="en-US"/>
              </w:rPr>
            </w:pPr>
          </w:p>
          <w:p>
            <w:pPr>
              <w:jc w:val="center"/>
              <w:rPr>
                <w:lang w:val="en-US"/>
              </w:rPr>
            </w:pPr>
          </w:p>
          <w:p>
            <w:pPr>
              <w:pStyle w:val="11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>
            <w:pPr>
              <w:pStyle w:val="11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>
            <w:pPr>
              <w:pStyle w:val="11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>
            <w:pPr>
              <w:pStyle w:val="11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color="auto" w:sz="12" w:space="0"/>
            </w:tcBorders>
          </w:tcPr>
          <w:p>
            <w:pPr>
              <w:pStyle w:val="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>
            <w:pPr>
              <w:jc w:val="center"/>
              <w:rPr>
                <w:rStyle w:val="6"/>
                <w:b/>
                <w:sz w:val="22"/>
                <w:szCs w:val="22"/>
                <w:lang w:val="tr-TR"/>
              </w:rPr>
            </w:pPr>
            <w:r>
              <w:fldChar w:fldCharType="begin"/>
            </w:r>
            <w:r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>
              <w:rPr>
                <w:rStyle w:val="6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6"/>
                <w:b/>
                <w:sz w:val="22"/>
                <w:szCs w:val="22"/>
                <w:lang w:val="tr-TR"/>
              </w:rPr>
              <w:fldChar w:fldCharType="end"/>
            </w:r>
          </w:p>
          <w:p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color w:val="000000"/>
                <w:lang w:val="tr-TR"/>
              </w:rPr>
            </w:pPr>
            <w:r>
              <w:rPr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color w:val="000000"/>
                <w:lang w:val="tr-TR"/>
              </w:rPr>
            </w:pPr>
          </w:p>
          <w:p>
            <w:pPr>
              <w:jc w:val="center"/>
              <w:rPr>
                <w:color w:val="000000"/>
                <w:lang w:val="tr-TR"/>
              </w:rPr>
            </w:pP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pStyle w:val="2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>
      <w:pPr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>
      <w:pPr>
        <w:jc w:val="center"/>
        <w:rPr>
          <w:rFonts w:hint="default"/>
          <w:b/>
          <w:lang w:val="ru-RU"/>
        </w:rPr>
      </w:pPr>
      <w:r>
        <w:rPr>
          <w:rFonts w:hint="default"/>
          <w:b/>
          <w:lang w:val="ru-RU"/>
        </w:rPr>
        <w:t>30</w:t>
      </w:r>
      <w:r>
        <w:rPr>
          <w:b/>
          <w:lang w:val="tr-TR"/>
        </w:rPr>
        <w:t>.</w:t>
      </w:r>
      <w:r>
        <w:rPr>
          <w:rFonts w:hint="default"/>
          <w:b/>
          <w:lang w:val="ru-RU"/>
        </w:rPr>
        <w:t>01</w:t>
      </w:r>
      <w:r>
        <w:rPr>
          <w:b/>
          <w:lang w:val="tr-TR"/>
        </w:rPr>
        <w:t>.20</w:t>
      </w:r>
      <w:r>
        <w:rPr>
          <w:rFonts w:hint="default"/>
          <w:b/>
          <w:lang w:val="ru-RU"/>
        </w:rPr>
        <w:t xml:space="preserve">24 </w:t>
      </w:r>
      <w:r>
        <w:rPr>
          <w:b/>
          <w:lang w:val="tr-TR"/>
        </w:rPr>
        <w:t xml:space="preserve">г.                                                                                  </w:t>
      </w:r>
      <w:r>
        <w:rPr>
          <w:b/>
          <w:lang w:val="ru-RU"/>
        </w:rPr>
        <w:t>проект</w:t>
      </w:r>
    </w:p>
    <w:p>
      <w:pPr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  <w:r>
        <w:rPr>
          <w:b/>
        </w:rPr>
        <w:t>О делегировании советников в состав комиссии</w:t>
      </w:r>
      <w:r>
        <w:rPr>
          <w:rFonts w:hint="default"/>
          <w:b/>
          <w:lang w:val="ru-RU"/>
        </w:rPr>
        <w:t xml:space="preserve"> </w:t>
      </w:r>
      <w:r>
        <w:rPr>
          <w:b/>
          <w:lang w:val="ru-RU"/>
        </w:rPr>
        <w:t>по</w:t>
      </w:r>
      <w:r>
        <w:rPr>
          <w:rFonts w:hint="default"/>
          <w:b/>
          <w:lang w:val="ru-RU"/>
        </w:rPr>
        <w:t xml:space="preserve"> </w:t>
      </w:r>
      <w:r>
        <w:rPr>
          <w:b/>
          <w:bCs/>
          <w:kern w:val="0"/>
          <w:lang w:val="en-US" w:eastAsia="zh-CN" w:bidi="ar"/>
        </w:rPr>
        <w:t>инвентаризации имущества, переданного или подлежащего</w:t>
      </w:r>
      <w:r>
        <w:rPr>
          <w:rFonts w:hint="default"/>
          <w:b/>
          <w:bCs/>
          <w:kern w:val="0"/>
          <w:lang w:val="ru-RU" w:eastAsia="zh-CN" w:bidi="ar"/>
        </w:rPr>
        <w:t xml:space="preserve"> </w:t>
      </w:r>
      <w:r>
        <w:rPr>
          <w:b/>
          <w:bCs/>
          <w:kern w:val="0"/>
          <w:lang w:val="en-US" w:eastAsia="zh-CN" w:bidi="ar"/>
        </w:rPr>
        <w:t>передаче в счет стоимостных долей имущества бывших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/>
          <w:lang w:val="ru-RU"/>
        </w:rPr>
      </w:pPr>
      <w:r>
        <w:rPr>
          <w:b/>
          <w:bCs/>
          <w:kern w:val="0"/>
          <w:lang w:val="en-US" w:eastAsia="zh-CN" w:bidi="ar"/>
        </w:rPr>
        <w:t>сельскохозяйственных предприятий</w:t>
      </w:r>
      <w:r>
        <w:rPr>
          <w:rFonts w:hint="default"/>
          <w:b/>
          <w:bCs/>
          <w:kern w:val="0"/>
          <w:lang w:val="ru-RU" w:eastAsia="zh-CN" w:bidi="ar"/>
        </w:rPr>
        <w:t>, на территории мун.Чадыр-Лунга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/>
          <w:lang w:val="ru-RU"/>
        </w:rPr>
      </w:pPr>
    </w:p>
    <w:p>
      <w:pPr>
        <w:jc w:val="both"/>
        <w:rPr>
          <w:b/>
          <w:color w:val="000000"/>
          <w:shd w:val="clear" w:color="auto" w:fill="FFFFFF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</w:pPr>
      <w:r>
        <w:t xml:space="preserve">Руководствуясь  </w:t>
      </w:r>
      <w:r>
        <w:rPr>
          <w:lang w:val="ru-RU"/>
        </w:rPr>
        <w:t>п</w:t>
      </w:r>
      <w:r>
        <w:t xml:space="preserve">.4 </w:t>
      </w:r>
      <w:r>
        <w:rPr>
          <w:lang w:val="ru-RU"/>
        </w:rPr>
        <w:t>Положения</w:t>
      </w:r>
      <w:r>
        <w:rPr>
          <w:rFonts w:hint="default"/>
          <w:lang w:val="ru-RU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о порядке инвентаризации имущества, переданного или подлежащего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передаче в счет стоимостных долей имущества бывших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сельскохозяйственных предприятий</w:t>
      </w:r>
      <w:r>
        <w:rPr>
          <w:rFonts w:hint="default"/>
          <w:b/>
          <w:bCs/>
          <w:kern w:val="0"/>
          <w:lang w:val="ru-RU" w:eastAsia="zh-CN" w:bidi="ar"/>
        </w:rPr>
        <w:t xml:space="preserve">, </w:t>
      </w:r>
      <w:r>
        <w:rPr>
          <w:lang w:val="ru-RU"/>
        </w:rPr>
        <w:t>утверждённого</w:t>
      </w:r>
      <w:r>
        <w:rPr>
          <w:rFonts w:hint="default"/>
          <w:lang w:val="ru-RU"/>
        </w:rPr>
        <w:t xml:space="preserve"> Постановлением Правительства №799 от 23.11.2022 г., учитывая необходимость создания комиссии </w:t>
      </w:r>
      <w:r>
        <w:rPr>
          <w:b w:val="0"/>
          <w:bCs w:val="0"/>
          <w:kern w:val="0"/>
          <w:lang w:val="en-US" w:eastAsia="zh-CN" w:bidi="ar"/>
        </w:rPr>
        <w:t>нвентаризации имущества, переданного или подлежащего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передаче в счет стоимостных долей имущества бывших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сельскохозяйственных предприятий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на территории мун.Чадыр-Лунга и включения в её состав представителей местного Совета,</w:t>
      </w:r>
      <w:bookmarkStart w:id="0" w:name="_GoBack"/>
      <w:bookmarkEnd w:id="0"/>
      <w:r>
        <w:t xml:space="preserve"> </w:t>
      </w:r>
      <w:r>
        <w:rPr>
          <w:lang w:val="ru-RU"/>
        </w:rPr>
        <w:t>на</w:t>
      </w:r>
      <w:r>
        <w:rPr>
          <w:rFonts w:hint="default"/>
          <w:lang w:val="ru-RU"/>
        </w:rPr>
        <w:t xml:space="preserve"> основании </w:t>
      </w:r>
      <w:r>
        <w:t xml:space="preserve"> ч.1 и </w:t>
      </w:r>
      <w:r>
        <w:rPr>
          <w:lang w:val="ru-RU"/>
        </w:rPr>
        <w:t>п</w:t>
      </w:r>
      <w:r>
        <w:rPr>
          <w:rFonts w:hint="default"/>
          <w:lang w:val="ru-RU"/>
        </w:rPr>
        <w:t>.</w:t>
      </w:r>
      <w:r>
        <w:rPr>
          <w:rFonts w:hint="default"/>
          <w:lang w:val="en-US"/>
        </w:rPr>
        <w:t>b</w:t>
      </w:r>
      <w:r>
        <w:rPr>
          <w:rFonts w:hint="default"/>
          <w:lang w:val="ru-RU"/>
        </w:rPr>
        <w:t xml:space="preserve">) </w:t>
      </w:r>
      <w:r>
        <w:t>ч.2 ст.14 Закона №436-</w:t>
      </w:r>
      <w:r>
        <w:rPr>
          <w:lang w:val="en-US"/>
        </w:rPr>
        <w:t>XVI</w:t>
      </w:r>
      <w:r>
        <w:t xml:space="preserve"> от 28.12.2006</w:t>
      </w:r>
      <w:r>
        <w:rPr>
          <w:rFonts w:hint="default"/>
          <w:lang w:val="ru-RU"/>
        </w:rPr>
        <w:t xml:space="preserve"> </w:t>
      </w:r>
      <w:r>
        <w:t>г. «О местном публичном управлении»,  учитывая заключение</w:t>
      </w:r>
      <w:r>
        <w:rPr>
          <w:rStyle w:val="17"/>
          <w:bCs/>
        </w:rPr>
        <w:t xml:space="preserve"> специализированной консультативной комиссии советников,</w:t>
      </w:r>
    </w:p>
    <w:p>
      <w:pPr>
        <w:jc w:val="center"/>
      </w:pPr>
    </w:p>
    <w:p>
      <w:pPr>
        <w:jc w:val="center"/>
      </w:pPr>
      <w:r>
        <w:t>Чадыр-Лунгский Муниципальный Совет</w:t>
      </w:r>
    </w:p>
    <w:p>
      <w:pPr>
        <w:jc w:val="center"/>
      </w:pPr>
    </w:p>
    <w:p>
      <w:pPr>
        <w:jc w:val="center"/>
      </w:pPr>
      <w:r>
        <w:rPr>
          <w:b/>
        </w:rPr>
        <w:t>РЕШИЛ</w:t>
      </w:r>
      <w:r>
        <w:t>:</w:t>
      </w:r>
    </w:p>
    <w:p>
      <w:pPr>
        <w:jc w:val="center"/>
      </w:pPr>
    </w:p>
    <w:p>
      <w:pPr>
        <w:pStyle w:val="13"/>
        <w:numPr>
          <w:ilvl w:val="0"/>
          <w:numId w:val="1"/>
        </w:numPr>
        <w:suppressAutoHyphens/>
        <w:jc w:val="both"/>
      </w:pPr>
      <w:r>
        <w:t xml:space="preserve">Делегировать в состав комиссии </w:t>
      </w:r>
      <w:r>
        <w:rPr>
          <w:lang w:val="ru-RU"/>
        </w:rPr>
        <w:t>по</w:t>
      </w:r>
      <w:r>
        <w:t xml:space="preserve"> </w:t>
      </w:r>
      <w:r>
        <w:rPr>
          <w:b w:val="0"/>
          <w:bCs w:val="0"/>
          <w:kern w:val="0"/>
          <w:lang w:val="en-US" w:eastAsia="zh-CN" w:bidi="ar"/>
        </w:rPr>
        <w:t>инвентаризации имущества, переданного или подлежащего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передаче в счет стоимостных долей имущества бывших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сельскохозяйственных предприятий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, </w:t>
      </w:r>
      <w:r>
        <w:t>следующих советников Чадыр-Лунгского муниципального совета:</w:t>
      </w:r>
    </w:p>
    <w:p>
      <w:pPr>
        <w:pStyle w:val="13"/>
        <w:numPr>
          <w:ilvl w:val="0"/>
          <w:numId w:val="2"/>
        </w:numPr>
        <w:suppressAutoHyphens/>
        <w:jc w:val="both"/>
      </w:pPr>
      <w:r>
        <w:rPr>
          <w:rFonts w:hint="default"/>
          <w:lang w:val="ru-RU"/>
        </w:rPr>
        <w:t>____________</w:t>
      </w:r>
    </w:p>
    <w:p>
      <w:pPr>
        <w:pStyle w:val="13"/>
        <w:numPr>
          <w:ilvl w:val="0"/>
          <w:numId w:val="2"/>
        </w:numPr>
        <w:suppressAutoHyphens/>
        <w:jc w:val="both"/>
      </w:pPr>
      <w:r>
        <w:rPr>
          <w:rFonts w:hint="default"/>
          <w:lang w:val="ru-RU"/>
        </w:rPr>
        <w:t>____________</w:t>
      </w:r>
    </w:p>
    <w:p>
      <w:pPr>
        <w:pStyle w:val="13"/>
        <w:numPr>
          <w:ilvl w:val="0"/>
          <w:numId w:val="2"/>
        </w:numPr>
        <w:suppressAutoHyphens/>
        <w:jc w:val="both"/>
      </w:pPr>
      <w:r>
        <w:rPr>
          <w:rFonts w:hint="default"/>
          <w:lang w:val="ru-RU"/>
        </w:rPr>
        <w:t>____________</w:t>
      </w:r>
    </w:p>
    <w:p>
      <w:pPr>
        <w:pStyle w:val="13"/>
        <w:suppressAutoHyphens/>
        <w:ind w:left="1080"/>
        <w:jc w:val="both"/>
        <w:rPr>
          <w:sz w:val="16"/>
          <w:szCs w:val="16"/>
        </w:rPr>
      </w:pPr>
    </w:p>
    <w:p>
      <w:pPr>
        <w:pStyle w:val="13"/>
        <w:numPr>
          <w:ilvl w:val="0"/>
          <w:numId w:val="1"/>
        </w:numPr>
        <w:suppressAutoHyphens/>
        <w:jc w:val="both"/>
      </w:pPr>
      <w:r>
        <w:rPr>
          <w:lang w:val="ru-RU"/>
        </w:rPr>
        <w:t>Примэрии</w:t>
      </w:r>
      <w:r>
        <w:rPr>
          <w:rFonts w:hint="default"/>
          <w:lang w:val="ru-RU"/>
        </w:rPr>
        <w:t xml:space="preserve"> мун.Чадыр-Лунга о</w:t>
      </w:r>
      <w:r>
        <w:rPr>
          <w:lang w:val="ru-RU"/>
        </w:rPr>
        <w:t>знакомить</w:t>
      </w:r>
      <w:r>
        <w:rPr>
          <w:rFonts w:hint="default"/>
          <w:lang w:val="ru-RU"/>
        </w:rPr>
        <w:t xml:space="preserve"> делегированных в состав Комиссии советников с полномочиями, правами и обязанностями членов Комиссии </w:t>
      </w:r>
      <w:r>
        <w:rPr>
          <w:lang w:val="ru-RU"/>
        </w:rPr>
        <w:t>по</w:t>
      </w:r>
      <w:r>
        <w:t xml:space="preserve"> </w:t>
      </w:r>
      <w:r>
        <w:rPr>
          <w:b w:val="0"/>
          <w:bCs w:val="0"/>
          <w:kern w:val="0"/>
          <w:lang w:val="en-US" w:eastAsia="zh-CN" w:bidi="ar"/>
        </w:rPr>
        <w:t>инвентаризации имущества, переданного или подлежащего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передаче в счет стоимостных долей имущества бывших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 </w:t>
      </w:r>
      <w:r>
        <w:rPr>
          <w:b w:val="0"/>
          <w:bCs w:val="0"/>
          <w:kern w:val="0"/>
          <w:lang w:val="en-US" w:eastAsia="zh-CN" w:bidi="ar"/>
        </w:rPr>
        <w:t>сельскохозяйственных предприятий</w:t>
      </w:r>
      <w:r>
        <w:rPr>
          <w:rFonts w:hint="default"/>
          <w:b w:val="0"/>
          <w:bCs w:val="0"/>
          <w:kern w:val="0"/>
          <w:lang w:val="ru-RU" w:eastAsia="zh-CN" w:bidi="ar"/>
        </w:rPr>
        <w:t xml:space="preserve">, согласно </w:t>
      </w:r>
      <w:r>
        <w:rPr>
          <w:rFonts w:hint="default"/>
          <w:lang w:val="ru-RU"/>
        </w:rPr>
        <w:t>Постановлению Правительства №799 от 23.11.2022 г.</w:t>
      </w:r>
    </w:p>
    <w:p>
      <w:pPr>
        <w:pStyle w:val="13"/>
        <w:numPr>
          <w:ilvl w:val="0"/>
          <w:numId w:val="1"/>
        </w:numPr>
        <w:suppressAutoHyphens/>
        <w:jc w:val="both"/>
      </w:pPr>
      <w:r>
        <w:t>Контроль за исполнением настоящего решения возложить на примара мун.Чадыр-Лунга А.Топал.</w:t>
      </w:r>
    </w:p>
    <w:p>
      <w:pPr>
        <w:suppressAutoHyphens/>
        <w:jc w:val="both"/>
      </w:pPr>
    </w:p>
    <w:p>
      <w:pPr>
        <w:suppressAutoHyphens/>
        <w:jc w:val="both"/>
      </w:pPr>
    </w:p>
    <w:p>
      <w:pPr>
        <w:suppressAutoHyphens/>
        <w:jc w:val="both"/>
      </w:pPr>
    </w:p>
    <w:p>
      <w:pPr>
        <w:suppressAutoHyphens/>
        <w:jc w:val="both"/>
        <w:rPr>
          <w:sz w:val="16"/>
          <w:szCs w:val="16"/>
        </w:rPr>
      </w:pPr>
    </w:p>
    <w:p>
      <w:pPr>
        <w:pStyle w:val="12"/>
        <w:spacing w:line="360" w:lineRule="auto"/>
        <w:rPr>
          <w:rFonts w:hint="default"/>
          <w:lang w:val="ru-RU"/>
        </w:rPr>
      </w:pPr>
      <w:r>
        <w:t xml:space="preserve">           </w:t>
      </w:r>
      <w:r>
        <w:tab/>
      </w:r>
      <w:r>
        <w:tab/>
      </w:r>
      <w:r>
        <w:t>Председатель Совета</w:t>
      </w:r>
      <w:r>
        <w:tab/>
      </w:r>
      <w:r>
        <w:tab/>
      </w:r>
      <w:r>
        <w:tab/>
      </w:r>
      <w:r>
        <w:tab/>
      </w:r>
      <w:r>
        <w:rPr>
          <w:lang w:val="ru-RU"/>
        </w:rPr>
        <w:t>Виктор</w:t>
      </w:r>
      <w:r>
        <w:rPr>
          <w:rFonts w:hint="default"/>
          <w:lang w:val="ru-RU"/>
        </w:rPr>
        <w:t xml:space="preserve"> ГОЛИШ</w:t>
      </w:r>
    </w:p>
    <w:p>
      <w:pPr>
        <w:pStyle w:val="12"/>
        <w:spacing w:line="360" w:lineRule="auto"/>
        <w:ind w:firstLine="708"/>
      </w:pPr>
      <w:r>
        <w:t>Контрассигнует:</w:t>
      </w:r>
    </w:p>
    <w:p>
      <w:pPr>
        <w:spacing w:line="360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>Олеся  ЧЕБАНОВА</w:t>
      </w:r>
    </w:p>
    <w:sectPr>
      <w:type w:val="continuous"/>
      <w:pgSz w:w="11906" w:h="16838"/>
      <w:pgMar w:top="567" w:right="850" w:bottom="567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DB7D40"/>
    <w:multiLevelType w:val="multilevel"/>
    <w:tmpl w:val="42DB7D40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C0658"/>
    <w:multiLevelType w:val="multilevel"/>
    <w:tmpl w:val="739C0658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6BF3"/>
    <w:rsid w:val="00051665"/>
    <w:rsid w:val="00052DB3"/>
    <w:rsid w:val="000556F2"/>
    <w:rsid w:val="00070519"/>
    <w:rsid w:val="00073E0E"/>
    <w:rsid w:val="00075A4B"/>
    <w:rsid w:val="000B0D8C"/>
    <w:rsid w:val="000D3932"/>
    <w:rsid w:val="00112323"/>
    <w:rsid w:val="001228E8"/>
    <w:rsid w:val="00134A88"/>
    <w:rsid w:val="00147796"/>
    <w:rsid w:val="001569EC"/>
    <w:rsid w:val="00160D9D"/>
    <w:rsid w:val="00172A6C"/>
    <w:rsid w:val="00174B34"/>
    <w:rsid w:val="001C00D0"/>
    <w:rsid w:val="001D63D1"/>
    <w:rsid w:val="0020555D"/>
    <w:rsid w:val="002103B9"/>
    <w:rsid w:val="0025437C"/>
    <w:rsid w:val="00296A39"/>
    <w:rsid w:val="002A5AA5"/>
    <w:rsid w:val="002F2BB3"/>
    <w:rsid w:val="00356A3B"/>
    <w:rsid w:val="00367AB4"/>
    <w:rsid w:val="00375357"/>
    <w:rsid w:val="003875CB"/>
    <w:rsid w:val="00394F64"/>
    <w:rsid w:val="003D390B"/>
    <w:rsid w:val="004023E2"/>
    <w:rsid w:val="004049AC"/>
    <w:rsid w:val="00424DF9"/>
    <w:rsid w:val="0045401E"/>
    <w:rsid w:val="00457A00"/>
    <w:rsid w:val="00460268"/>
    <w:rsid w:val="004839A3"/>
    <w:rsid w:val="00484506"/>
    <w:rsid w:val="004A1A3A"/>
    <w:rsid w:val="004A67B1"/>
    <w:rsid w:val="004D2218"/>
    <w:rsid w:val="0050171D"/>
    <w:rsid w:val="00502857"/>
    <w:rsid w:val="00551F65"/>
    <w:rsid w:val="00562D58"/>
    <w:rsid w:val="00574295"/>
    <w:rsid w:val="00584A84"/>
    <w:rsid w:val="005F0AA8"/>
    <w:rsid w:val="005F59F3"/>
    <w:rsid w:val="00600AA5"/>
    <w:rsid w:val="00610E66"/>
    <w:rsid w:val="00612D02"/>
    <w:rsid w:val="00650311"/>
    <w:rsid w:val="00690225"/>
    <w:rsid w:val="006E36C3"/>
    <w:rsid w:val="006F297E"/>
    <w:rsid w:val="00757995"/>
    <w:rsid w:val="00795BEC"/>
    <w:rsid w:val="007B4469"/>
    <w:rsid w:val="008104E6"/>
    <w:rsid w:val="008434AD"/>
    <w:rsid w:val="0088494C"/>
    <w:rsid w:val="008B4C49"/>
    <w:rsid w:val="00956B2F"/>
    <w:rsid w:val="009866B2"/>
    <w:rsid w:val="00A0107E"/>
    <w:rsid w:val="00A27AF1"/>
    <w:rsid w:val="00A71FBA"/>
    <w:rsid w:val="00AE41E8"/>
    <w:rsid w:val="00AF6A8E"/>
    <w:rsid w:val="00AF6F4C"/>
    <w:rsid w:val="00B170DE"/>
    <w:rsid w:val="00B350E9"/>
    <w:rsid w:val="00B4499B"/>
    <w:rsid w:val="00B716B1"/>
    <w:rsid w:val="00BA72BD"/>
    <w:rsid w:val="00BC0550"/>
    <w:rsid w:val="00BC0BD1"/>
    <w:rsid w:val="00BF2992"/>
    <w:rsid w:val="00C068BF"/>
    <w:rsid w:val="00C1235F"/>
    <w:rsid w:val="00C7568F"/>
    <w:rsid w:val="00C83B7D"/>
    <w:rsid w:val="00C8795A"/>
    <w:rsid w:val="00CB0D47"/>
    <w:rsid w:val="00CB4B5E"/>
    <w:rsid w:val="00CD4D5F"/>
    <w:rsid w:val="00CF4FDD"/>
    <w:rsid w:val="00D73248"/>
    <w:rsid w:val="00D7520F"/>
    <w:rsid w:val="00DA3EBF"/>
    <w:rsid w:val="00DA665F"/>
    <w:rsid w:val="00DA7BB0"/>
    <w:rsid w:val="00DD0D32"/>
    <w:rsid w:val="00DF2225"/>
    <w:rsid w:val="00E35B4C"/>
    <w:rsid w:val="00E70EBF"/>
    <w:rsid w:val="00EA0F14"/>
    <w:rsid w:val="00EA6265"/>
    <w:rsid w:val="00EC0147"/>
    <w:rsid w:val="00EC386E"/>
    <w:rsid w:val="00EC74B7"/>
    <w:rsid w:val="00ED65FD"/>
    <w:rsid w:val="00F0122D"/>
    <w:rsid w:val="00F04028"/>
    <w:rsid w:val="00F23902"/>
    <w:rsid w:val="00F41FBB"/>
    <w:rsid w:val="00F511A2"/>
    <w:rsid w:val="00F7020B"/>
    <w:rsid w:val="00F7462E"/>
    <w:rsid w:val="00FE5AC7"/>
    <w:rsid w:val="00FF52BA"/>
    <w:rsid w:val="237D635E"/>
    <w:rsid w:val="5596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5"/>
    <w:basedOn w:val="1"/>
    <w:next w:val="1"/>
    <w:link w:val="9"/>
    <w:qFormat/>
    <w:uiPriority w:val="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3">
    <w:name w:val="heading 7"/>
    <w:basedOn w:val="1"/>
    <w:next w:val="1"/>
    <w:link w:val="10"/>
    <w:semiHidden/>
    <w:unhideWhenUsed/>
    <w:qFormat/>
    <w:uiPriority w:val="0"/>
    <w:pPr>
      <w:spacing w:before="240" w:after="60"/>
      <w:outlineLvl w:val="6"/>
    </w:pPr>
    <w:rPr>
      <w:rFonts w:ascii="Calibri" w:hAnsi="Calibri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Normal (Web)"/>
    <w:basedOn w:val="1"/>
    <w:semiHidden/>
    <w:unhideWhenUsed/>
    <w:uiPriority w:val="99"/>
    <w:rPr>
      <w:sz w:val="24"/>
      <w:szCs w:val="24"/>
    </w:rPr>
  </w:style>
  <w:style w:type="character" w:customStyle="1" w:styleId="9">
    <w:name w:val="Заголовок 5 Знак"/>
    <w:basedOn w:val="4"/>
    <w:link w:val="2"/>
    <w:qFormat/>
    <w:uiPriority w:val="0"/>
    <w:rPr>
      <w:rFonts w:ascii="Times New Roman" w:hAnsi="Times New Roman" w:eastAsia="Times New Roman" w:cs="Times New Roman"/>
      <w:b/>
      <w:snapToGrid w:val="0"/>
      <w:sz w:val="32"/>
      <w:szCs w:val="20"/>
      <w:lang w:val="tr-TR" w:eastAsia="ru-RU"/>
    </w:rPr>
  </w:style>
  <w:style w:type="character" w:customStyle="1" w:styleId="10">
    <w:name w:val="Заголовок 7 Знак"/>
    <w:basedOn w:val="4"/>
    <w:link w:val="3"/>
    <w:semiHidden/>
    <w:qFormat/>
    <w:uiPriority w:val="0"/>
    <w:rPr>
      <w:rFonts w:ascii="Calibri" w:hAnsi="Calibri" w:eastAsia="Times New Roman" w:cs="Times New Roman"/>
      <w:sz w:val="24"/>
      <w:szCs w:val="24"/>
      <w:lang w:eastAsia="ru-RU"/>
    </w:rPr>
  </w:style>
  <w:style w:type="paragraph" w:styleId="11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12">
    <w:name w:val="Standard"/>
    <w:qFormat/>
    <w:uiPriority w:val="0"/>
    <w:pPr>
      <w:suppressAutoHyphens/>
      <w:autoSpaceDN w:val="0"/>
      <w:spacing w:after="0" w:line="240" w:lineRule="auto"/>
    </w:pPr>
    <w:rPr>
      <w:rFonts w:ascii="Times New Roman" w:hAnsi="Times New Roman" w:eastAsia="Calibri" w:cs="Times New Roman"/>
      <w:kern w:val="3"/>
      <w:sz w:val="24"/>
      <w:szCs w:val="24"/>
      <w:lang w:val="ru-RU" w:eastAsia="zh-CN" w:bidi="ar-SA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customStyle="1" w:styleId="14">
    <w:name w:val="tt"/>
    <w:basedOn w:val="1"/>
    <w:qFormat/>
    <w:uiPriority w:val="0"/>
    <w:pPr>
      <w:jc w:val="center"/>
    </w:pPr>
    <w:rPr>
      <w:rFonts w:eastAsiaTheme="minorEastAsia"/>
      <w:b/>
      <w:bCs/>
    </w:rPr>
  </w:style>
  <w:style w:type="paragraph" w:customStyle="1" w:styleId="15">
    <w:name w:val="cb"/>
    <w:basedOn w:val="1"/>
    <w:qFormat/>
    <w:uiPriority w:val="0"/>
    <w:pPr>
      <w:jc w:val="center"/>
    </w:pPr>
    <w:rPr>
      <w:rFonts w:eastAsiaTheme="minorEastAsia"/>
      <w:b/>
      <w:bCs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17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221</Words>
  <Characters>1262</Characters>
  <Lines>10</Lines>
  <Paragraphs>2</Paragraphs>
  <TotalTime>1</TotalTime>
  <ScaleCrop>false</ScaleCrop>
  <LinksUpToDate>false</LinksUpToDate>
  <CharactersWithSpaces>1481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2018-09-08T08:19:00Z</dcterms:created>
  <dc:creator>F82_E34</dc:creator>
  <cp:lastModifiedBy>Станислав Берёз�</cp:lastModifiedBy>
  <cp:lastPrinted>2019-12-17T11:44:00Z</cp:lastPrinted>
  <dcterms:modified xsi:type="dcterms:W3CDTF">2024-01-23T15:45:12Z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1049-12.2.0.13412</vt:lpwstr>
  </property>
  <property fmtid="{D5CDD505-2E9C-101B-9397-08002B2CF9AE}" pid="3" name="ICV">
    <vt:lpwstr>97EC261EA76B49A79B6192105C0A61AD_12</vt:lpwstr>
  </property>
</Properties>
</file>